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b/>
          <w:bCs/>
          <w:szCs w:val="24"/>
          <w:lang w:eastAsia="es-CO"/>
        </w:rPr>
        <w:t>DECRETO N° 3032</w:t>
      </w:r>
    </w:p>
    <w:p w:rsidR="00201BC9" w:rsidRDefault="00201BC9" w:rsidP="0031749C">
      <w:pPr>
        <w:adjustRightInd w:val="0"/>
        <w:spacing w:line="240" w:lineRule="auto"/>
        <w:jc w:val="center"/>
        <w:rPr>
          <w:rFonts w:eastAsia="Times New Roman"/>
          <w:b/>
          <w:szCs w:val="24"/>
          <w:lang w:eastAsia="es-CO"/>
        </w:rPr>
      </w:pPr>
    </w:p>
    <w:p w:rsidR="0031749C" w:rsidRDefault="0031749C" w:rsidP="0031749C">
      <w:pPr>
        <w:adjustRightInd w:val="0"/>
        <w:spacing w:line="240" w:lineRule="auto"/>
        <w:jc w:val="center"/>
        <w:rPr>
          <w:rFonts w:eastAsia="Times New Roman"/>
          <w:b/>
          <w:szCs w:val="24"/>
          <w:lang w:eastAsia="es-CO"/>
        </w:rPr>
      </w:pPr>
      <w:r w:rsidRPr="002A6144">
        <w:rPr>
          <w:rFonts w:eastAsia="Times New Roman"/>
          <w:b/>
          <w:szCs w:val="24"/>
          <w:lang w:eastAsia="es-CO"/>
        </w:rPr>
        <w:t>27-12-2013</w:t>
      </w:r>
    </w:p>
    <w:p w:rsidR="00201BC9" w:rsidRPr="002A6144" w:rsidRDefault="00201BC9" w:rsidP="0031749C">
      <w:pPr>
        <w:adjustRightInd w:val="0"/>
        <w:spacing w:line="240" w:lineRule="auto"/>
        <w:jc w:val="center"/>
        <w:rPr>
          <w:rFonts w:eastAsia="Times New Roman"/>
          <w:szCs w:val="24"/>
          <w:lang w:eastAsia="es-CO"/>
        </w:rPr>
      </w:pP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b/>
          <w:iCs/>
          <w:szCs w:val="24"/>
          <w:lang w:eastAsia="es-CO"/>
        </w:rPr>
        <w:t>MINISTERIO DE HACIENDA Y CRÉDITO PÚBLICO</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jc w:val="center"/>
        <w:rPr>
          <w:rFonts w:eastAsia="Times New Roman"/>
          <w:szCs w:val="24"/>
          <w:lang w:eastAsia="es-CO"/>
        </w:rPr>
      </w:pPr>
      <w:proofErr w:type="gramStart"/>
      <w:r w:rsidRPr="002A6144">
        <w:rPr>
          <w:rFonts w:eastAsia="Times New Roman"/>
          <w:i/>
          <w:iCs/>
          <w:szCs w:val="24"/>
          <w:lang w:eastAsia="es-CO"/>
        </w:rPr>
        <w:t>por</w:t>
      </w:r>
      <w:proofErr w:type="gramEnd"/>
      <w:r w:rsidRPr="002A6144">
        <w:rPr>
          <w:rFonts w:eastAsia="Times New Roman"/>
          <w:i/>
          <w:iCs/>
          <w:szCs w:val="24"/>
          <w:lang w:eastAsia="es-CO"/>
        </w:rPr>
        <w:t xml:space="preserve"> el cual se reglamenta parcialmente el Estatuto Tributario.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El Presidente de la República de Colombia, en uso de sus facultades constitucionales y legales, en especial de las conferidas en los numerales 11 y 20 del artículo 189 de la Constitución Política y de conformidad con lo dispuesto en los artículos </w:t>
      </w:r>
      <w:hyperlink r:id="rId5" w:tooltip="Estatuto Tributario CETA" w:history="1">
        <w:r w:rsidRPr="002A6144">
          <w:rPr>
            <w:rFonts w:eastAsia="Times New Roman"/>
            <w:szCs w:val="24"/>
            <w:lang w:eastAsia="es-CO"/>
          </w:rPr>
          <w:t>329</w:t>
        </w:r>
      </w:hyperlink>
      <w:r w:rsidRPr="002A6144">
        <w:rPr>
          <w:rFonts w:eastAsia="Times New Roman"/>
          <w:szCs w:val="24"/>
          <w:lang w:eastAsia="es-CO"/>
        </w:rPr>
        <w:t xml:space="preserve">, </w:t>
      </w:r>
      <w:hyperlink r:id="rId6" w:tooltip="Estatuto Tributario CETA" w:history="1">
        <w:r w:rsidRPr="002A6144">
          <w:rPr>
            <w:rFonts w:eastAsia="Times New Roman"/>
            <w:szCs w:val="24"/>
            <w:lang w:eastAsia="es-CO"/>
          </w:rPr>
          <w:t>330</w:t>
        </w:r>
      </w:hyperlink>
      <w:r w:rsidRPr="002A6144">
        <w:rPr>
          <w:rFonts w:eastAsia="Times New Roman"/>
          <w:szCs w:val="24"/>
          <w:lang w:eastAsia="es-CO"/>
        </w:rPr>
        <w:t xml:space="preserve">, </w:t>
      </w:r>
      <w:hyperlink r:id="rId7" w:tooltip="Estatuto Tributario CETA" w:history="1">
        <w:r w:rsidRPr="002A6144">
          <w:rPr>
            <w:rFonts w:eastAsia="Times New Roman"/>
            <w:szCs w:val="24"/>
            <w:lang w:eastAsia="es-CO"/>
          </w:rPr>
          <w:t>331</w:t>
        </w:r>
      </w:hyperlink>
      <w:r w:rsidRPr="002A6144">
        <w:rPr>
          <w:rFonts w:eastAsia="Times New Roman"/>
          <w:szCs w:val="24"/>
          <w:lang w:eastAsia="es-CO"/>
        </w:rPr>
        <w:t xml:space="preserve">, </w:t>
      </w:r>
      <w:hyperlink r:id="rId8" w:tooltip="Estatuto Tributario CETA" w:history="1">
        <w:r w:rsidRPr="002A6144">
          <w:rPr>
            <w:rFonts w:eastAsia="Times New Roman"/>
            <w:szCs w:val="24"/>
            <w:lang w:eastAsia="es-CO"/>
          </w:rPr>
          <w:t>334</w:t>
        </w:r>
      </w:hyperlink>
      <w:r w:rsidRPr="002A6144">
        <w:rPr>
          <w:rFonts w:eastAsia="Times New Roman"/>
          <w:szCs w:val="24"/>
          <w:lang w:eastAsia="es-CO"/>
        </w:rPr>
        <w:t xml:space="preserve">, </w:t>
      </w:r>
      <w:hyperlink r:id="rId9" w:tooltip="Estatuto Tributario CETA" w:history="1">
        <w:r w:rsidRPr="002A6144">
          <w:rPr>
            <w:rFonts w:eastAsia="Times New Roman"/>
            <w:szCs w:val="24"/>
            <w:lang w:eastAsia="es-CO"/>
          </w:rPr>
          <w:t>336</w:t>
        </w:r>
      </w:hyperlink>
      <w:r w:rsidRPr="002A6144">
        <w:rPr>
          <w:rFonts w:eastAsia="Times New Roman"/>
          <w:szCs w:val="24"/>
          <w:lang w:eastAsia="es-CO"/>
        </w:rPr>
        <w:t xml:space="preserve">, </w:t>
      </w:r>
      <w:hyperlink r:id="rId10" w:tooltip="Estatuto Tributario CETA" w:history="1">
        <w:r w:rsidRPr="002A6144">
          <w:rPr>
            <w:rFonts w:eastAsia="Times New Roman"/>
            <w:szCs w:val="24"/>
            <w:lang w:eastAsia="es-CO"/>
          </w:rPr>
          <w:t>337</w:t>
        </w:r>
      </w:hyperlink>
      <w:r w:rsidRPr="002A6144">
        <w:rPr>
          <w:rFonts w:eastAsia="Times New Roman"/>
          <w:szCs w:val="24"/>
          <w:lang w:eastAsia="es-CO"/>
        </w:rPr>
        <w:t xml:space="preserve">, </w:t>
      </w:r>
      <w:hyperlink r:id="rId11" w:tooltip="Estatuto Tributario CETA" w:history="1">
        <w:r w:rsidRPr="002A6144">
          <w:rPr>
            <w:rFonts w:eastAsia="Times New Roman"/>
            <w:szCs w:val="24"/>
            <w:lang w:eastAsia="es-CO"/>
          </w:rPr>
          <w:t>340</w:t>
        </w:r>
      </w:hyperlink>
      <w:r w:rsidRPr="002A6144">
        <w:rPr>
          <w:rFonts w:eastAsia="Times New Roman"/>
          <w:szCs w:val="24"/>
          <w:lang w:eastAsia="es-CO"/>
        </w:rPr>
        <w:t xml:space="preserve">, </w:t>
      </w:r>
      <w:hyperlink r:id="rId12" w:tooltip="Estatuto Tributario CETA" w:history="1">
        <w:r w:rsidRPr="002A6144">
          <w:rPr>
            <w:rFonts w:eastAsia="Times New Roman"/>
            <w:szCs w:val="24"/>
            <w:lang w:eastAsia="es-CO"/>
          </w:rPr>
          <w:t>383</w:t>
        </w:r>
      </w:hyperlink>
      <w:r w:rsidRPr="002A6144">
        <w:rPr>
          <w:rFonts w:eastAsia="Times New Roman"/>
          <w:szCs w:val="24"/>
          <w:lang w:eastAsia="es-CO"/>
        </w:rPr>
        <w:t xml:space="preserve"> y </w:t>
      </w:r>
      <w:hyperlink r:id="rId13" w:tooltip="Estatuto Tributario CETA" w:history="1">
        <w:r w:rsidRPr="002A6144">
          <w:rPr>
            <w:rFonts w:eastAsia="Times New Roman"/>
            <w:szCs w:val="24"/>
            <w:lang w:eastAsia="es-CO"/>
          </w:rPr>
          <w:t>384</w:t>
        </w:r>
      </w:hyperlink>
      <w:r w:rsidRPr="002A6144">
        <w:rPr>
          <w:rFonts w:eastAsia="Times New Roman"/>
          <w:szCs w:val="24"/>
          <w:lang w:eastAsia="es-CO"/>
        </w:rPr>
        <w:t xml:space="preserve"> del Estatuto Tributario,</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b/>
          <w:szCs w:val="24"/>
          <w:lang w:eastAsia="es-CO"/>
        </w:rPr>
        <w:t>CONSIDERANDO: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Que el </w:t>
      </w:r>
      <w:hyperlink r:id="rId14" w:tooltip="Estatuto Tributario CETA" w:history="1">
        <w:r w:rsidRPr="002A6144">
          <w:rPr>
            <w:rFonts w:eastAsia="Times New Roman"/>
            <w:szCs w:val="24"/>
            <w:lang w:eastAsia="es-CO"/>
          </w:rPr>
          <w:t>artículo 329</w:t>
        </w:r>
      </w:hyperlink>
      <w:r w:rsidRPr="002A6144">
        <w:rPr>
          <w:rFonts w:eastAsia="Times New Roman"/>
          <w:szCs w:val="24"/>
          <w:lang w:eastAsia="es-CO"/>
        </w:rPr>
        <w:t xml:space="preserve"> del Estatuto Tributario establece la clasificación de las personas naturales residentes en el país en categorías tributarias, lo cual genera efectos en la aplicación del régimen del impuesto sobre la renta y complementarios a que se refieren los Capítulos I y II del Título V del Libro Primero del Estatuto Tributario, así como para la aplicación de retenciones en la fuente que a título del mismo impuesto debe efectuarse a estos contribuyentes;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Que la clasificación de las personas naturales residentes en el país, pertenecientes a las categorías tributarias referidas, tiene íntima relación con los sistemas de determinación del impuesto sobre la renta a cargo de los contribuyentes citados;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Que el </w:t>
      </w:r>
      <w:hyperlink r:id="rId15" w:tooltip="Estatuto Tributario CETA" w:history="1">
        <w:r w:rsidRPr="002A6144">
          <w:rPr>
            <w:rFonts w:eastAsia="Times New Roman"/>
            <w:szCs w:val="24"/>
            <w:lang w:eastAsia="es-CO"/>
          </w:rPr>
          <w:t>artículo 330</w:t>
        </w:r>
      </w:hyperlink>
      <w:r w:rsidRPr="002A6144">
        <w:rPr>
          <w:rFonts w:eastAsia="Times New Roman"/>
          <w:szCs w:val="24"/>
          <w:lang w:eastAsia="es-CO"/>
        </w:rPr>
        <w:t xml:space="preserve"> del Estatuto Tributario determina los sistemas de determinación del impuesto sobre la renta y complementarios para las personas naturales pertenecientes a la categoría de empleados;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Que el </w:t>
      </w:r>
      <w:hyperlink r:id="rId16" w:tooltip="Estatuto Tributario CETA" w:history="1">
        <w:r w:rsidRPr="002A6144">
          <w:rPr>
            <w:rFonts w:eastAsia="Times New Roman"/>
            <w:szCs w:val="24"/>
            <w:lang w:eastAsia="es-CO"/>
          </w:rPr>
          <w:t>artículo 336</w:t>
        </w:r>
      </w:hyperlink>
      <w:r w:rsidRPr="002A6144">
        <w:rPr>
          <w:rFonts w:eastAsia="Times New Roman"/>
          <w:szCs w:val="24"/>
          <w:lang w:eastAsia="es-CO"/>
        </w:rPr>
        <w:t xml:space="preserve"> del Estatuto Tributario establece los sistemas de determinación del impuesto sobre la renta y complementarios para las personas naturales pertenecientes a la categoría de trabajadores por cuenta propia;</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Que los artículos </w:t>
      </w:r>
      <w:hyperlink r:id="rId17" w:tooltip="Estatuto Tributario CETA" w:history="1">
        <w:r w:rsidRPr="002A6144">
          <w:rPr>
            <w:rFonts w:eastAsia="Times New Roman"/>
            <w:szCs w:val="24"/>
            <w:lang w:eastAsia="es-CO"/>
          </w:rPr>
          <w:t>332</w:t>
        </w:r>
      </w:hyperlink>
      <w:r w:rsidRPr="002A6144">
        <w:rPr>
          <w:rFonts w:eastAsia="Times New Roman"/>
          <w:szCs w:val="24"/>
          <w:lang w:eastAsia="es-CO"/>
        </w:rPr>
        <w:t xml:space="preserve"> y </w:t>
      </w:r>
      <w:hyperlink r:id="rId18" w:tooltip="Estatuto Tributario CETA" w:history="1">
        <w:r w:rsidRPr="002A6144">
          <w:rPr>
            <w:rFonts w:eastAsia="Times New Roman"/>
            <w:szCs w:val="24"/>
            <w:lang w:eastAsia="es-CO"/>
          </w:rPr>
          <w:t>339</w:t>
        </w:r>
      </w:hyperlink>
      <w:r w:rsidRPr="002A6144">
        <w:rPr>
          <w:rFonts w:eastAsia="Times New Roman"/>
          <w:szCs w:val="24"/>
          <w:lang w:eastAsia="es-CO"/>
        </w:rPr>
        <w:t xml:space="preserve"> del Estatuto Tributario establecen los factores que se pueden detraer de los ingresos obtenidos en el respectivo período para determinar la Renta Gravable Alternativa, base gravable del Impuesto Mínimo Alternativo Nacional (IMAN), del Impuesto Mínimo Alternativo Simple (IMAS) para empleados y del Impuesto Mínimo Alternativo Simplificado (IMAS) para trabajadores por cuenta propia;</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Que el </w:t>
      </w:r>
      <w:hyperlink r:id="rId19" w:tooltip="Estatuto Tributario CETA" w:history="1">
        <w:r w:rsidRPr="002A6144">
          <w:rPr>
            <w:rFonts w:eastAsia="Times New Roman"/>
            <w:szCs w:val="24"/>
            <w:lang w:eastAsia="es-CO"/>
          </w:rPr>
          <w:t>artículo 383</w:t>
        </w:r>
      </w:hyperlink>
      <w:r w:rsidRPr="002A6144">
        <w:rPr>
          <w:rFonts w:eastAsia="Times New Roman"/>
          <w:szCs w:val="24"/>
          <w:lang w:eastAsia="es-CO"/>
        </w:rPr>
        <w:t xml:space="preserve"> del Estatuto Tributario señala la tabla de retención en la fuente aplicable sobre los pagos o abonos en cuenta efectuados a las personas naturales residentes en </w:t>
      </w:r>
      <w:proofErr w:type="gramStart"/>
      <w:r w:rsidRPr="002A6144">
        <w:rPr>
          <w:rFonts w:eastAsia="Times New Roman"/>
          <w:szCs w:val="24"/>
          <w:lang w:eastAsia="es-CO"/>
        </w:rPr>
        <w:t>el país pertenecientes</w:t>
      </w:r>
      <w:proofErr w:type="gramEnd"/>
      <w:r w:rsidRPr="002A6144">
        <w:rPr>
          <w:rFonts w:eastAsia="Times New Roman"/>
          <w:szCs w:val="24"/>
          <w:lang w:eastAsia="es-CO"/>
        </w:rPr>
        <w:t xml:space="preserve"> a la categoría de empleados;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Que el </w:t>
      </w:r>
      <w:hyperlink r:id="rId20" w:tooltip="Estatuto Tributario CETA" w:history="1">
        <w:r w:rsidRPr="002A6144">
          <w:rPr>
            <w:rFonts w:eastAsia="Times New Roman"/>
            <w:szCs w:val="24"/>
            <w:lang w:eastAsia="es-CO"/>
          </w:rPr>
          <w:t>artículo 384</w:t>
        </w:r>
      </w:hyperlink>
      <w:r w:rsidRPr="002A6144">
        <w:rPr>
          <w:rFonts w:eastAsia="Times New Roman"/>
          <w:szCs w:val="24"/>
          <w:lang w:eastAsia="es-CO"/>
        </w:rPr>
        <w:t xml:space="preserve"> del Estatuto Tributario contiene la tabla de retención en la fuente mínima aplicable sobre los pagos o abonos en cuenta efectuados a las personas naturales residentes en </w:t>
      </w:r>
      <w:proofErr w:type="gramStart"/>
      <w:r w:rsidRPr="002A6144">
        <w:rPr>
          <w:rFonts w:eastAsia="Times New Roman"/>
          <w:szCs w:val="24"/>
          <w:lang w:eastAsia="es-CO"/>
        </w:rPr>
        <w:t>el país pertenecientes</w:t>
      </w:r>
      <w:proofErr w:type="gramEnd"/>
      <w:r w:rsidRPr="002A6144">
        <w:rPr>
          <w:rFonts w:eastAsia="Times New Roman"/>
          <w:szCs w:val="24"/>
          <w:lang w:eastAsia="es-CO"/>
        </w:rPr>
        <w:t xml:space="preserve"> a la categoría de empleados;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Que es indispensable precisar las definiciones, condiciones y requisitos que permitan la clasificación de los contribuyentes en una u otra categoría tributaria, de las cuales deriva la aplicación de los sistemas de determinación del impuesto sobre la renta consagrados en el Título V del Libro Primero del Estatuto Tributario;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lastRenderedPageBreak/>
        <w:t>Que cumplida la formalidad prevista en el numeral 8 del artículo 8° del Código de Procedimiento Administrativo y de lo Contencioso Administrativo en relación con el texto del presente decreto,</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jc w:val="center"/>
        <w:rPr>
          <w:rFonts w:eastAsia="Times New Roman"/>
          <w:szCs w:val="24"/>
          <w:lang w:eastAsia="es-CO"/>
        </w:rPr>
      </w:pPr>
      <w:r w:rsidRPr="002A6144">
        <w:rPr>
          <w:rFonts w:eastAsia="Times New Roman"/>
          <w:b/>
          <w:szCs w:val="24"/>
          <w:lang w:eastAsia="es-CO"/>
        </w:rPr>
        <w:t>DECRETA:</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 xml:space="preserve">Artículo 1°. </w:t>
      </w:r>
      <w:r w:rsidRPr="002A6144">
        <w:rPr>
          <w:rFonts w:eastAsia="Times New Roman"/>
          <w:i/>
          <w:iCs/>
          <w:szCs w:val="24"/>
          <w:lang w:eastAsia="es-CO"/>
        </w:rPr>
        <w:t>Definiciones</w:t>
      </w:r>
      <w:r w:rsidRPr="002A6144">
        <w:rPr>
          <w:rFonts w:eastAsia="Times New Roman"/>
          <w:szCs w:val="24"/>
          <w:lang w:eastAsia="es-CO"/>
        </w:rPr>
        <w:t>. Para efectos del presente decreto, se entiende por:</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bCs/>
          <w:szCs w:val="24"/>
          <w:lang w:eastAsia="es-CO"/>
        </w:rPr>
        <w:t xml:space="preserve">Servicio personal: </w:t>
      </w:r>
      <w:r w:rsidRPr="002A6144">
        <w:rPr>
          <w:rFonts w:eastAsia="Times New Roman"/>
          <w:szCs w:val="24"/>
          <w:lang w:eastAsia="es-CO"/>
        </w:rPr>
        <w:t>Se considera servicio personal toda actividad, labor o trabajo prestado directamente por una persona natural, que se concreta en una obligación de hacer, sin importar que en la misma predomine el factor material o intelectual, y que genera una contraprestación en dinero o en especie, independientemente de su denominación o forma de remuneración.</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bCs/>
          <w:szCs w:val="24"/>
          <w:lang w:eastAsia="es-CO"/>
        </w:rPr>
        <w:t xml:space="preserve">Profesión liberal: </w:t>
      </w:r>
      <w:r w:rsidRPr="002A6144">
        <w:rPr>
          <w:rFonts w:eastAsia="Times New Roman"/>
          <w:szCs w:val="24"/>
          <w:lang w:eastAsia="es-CO"/>
        </w:rPr>
        <w:t>Se entiende por profesión liberal, toda actividad personal en la cual predomina el ejercicio del intelecto, reconocida por el Estado y para cuyo ejercicio se requiere:</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1. Habilitación mediante título académico de estudios y grado de educación superior; o habilitación Estatal para las personas que sin título profesional fueron autorizadas para ejercer.</w:t>
      </w:r>
    </w:p>
    <w:p w:rsidR="009E521C" w:rsidRDefault="009E521C"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2. Inscripción en el registro nacional que las autoridades estatales de vigilancia, control y disciplinarias lleven conforme con la ley que regula la profesión liberal de que se trate, cuando la misma esté oficialmente reglada.</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Se entiende que una persona ejerce una profesión liberal cuando realiza labores propias de tal profesión, independientemente de si tiene las habilitaciones o registros establecidos en las normas vigentes.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bCs/>
          <w:szCs w:val="24"/>
          <w:lang w:eastAsia="es-CO"/>
        </w:rPr>
        <w:t xml:space="preserve">Servicio técnico: </w:t>
      </w:r>
      <w:r w:rsidRPr="002A6144">
        <w:rPr>
          <w:rFonts w:eastAsia="Times New Roman"/>
          <w:szCs w:val="24"/>
          <w:lang w:eastAsia="es-CO"/>
        </w:rPr>
        <w:t xml:space="preserve">Se considera servicio técnico la actividad, labor o trabajo prestado directamente por una persona natural mediante contrato de prestación de servicios personales, para la utilización de conocimientos aplicados por medio del ejercicio de un arte, oficio o técnica, sin transferencia de dicho conocimiento. </w:t>
      </w:r>
      <w:r w:rsidRPr="0018374C">
        <w:rPr>
          <w:rFonts w:eastAsia="Times New Roman"/>
          <w:b/>
          <w:szCs w:val="24"/>
          <w:lang w:eastAsia="es-CO"/>
        </w:rPr>
        <w:t>Los servicios prestados en ejercicio de una profesión liberal no se consideran servicios técnicos.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18374C" w:rsidRDefault="0031749C" w:rsidP="0031749C">
      <w:pPr>
        <w:adjustRightInd w:val="0"/>
        <w:spacing w:line="240" w:lineRule="auto"/>
        <w:rPr>
          <w:rFonts w:eastAsia="Times New Roman"/>
          <w:b/>
          <w:szCs w:val="24"/>
          <w:lang w:eastAsia="es-CO"/>
        </w:rPr>
      </w:pPr>
      <w:r w:rsidRPr="002A6144">
        <w:rPr>
          <w:rFonts w:eastAsia="Times New Roman"/>
          <w:b/>
          <w:bCs/>
          <w:szCs w:val="24"/>
          <w:lang w:eastAsia="es-CO"/>
        </w:rPr>
        <w:t xml:space="preserve">Insumos o materiales especializados: </w:t>
      </w:r>
      <w:r w:rsidRPr="002A6144">
        <w:rPr>
          <w:rFonts w:eastAsia="Times New Roman"/>
          <w:szCs w:val="24"/>
          <w:lang w:eastAsia="es-CO"/>
        </w:rPr>
        <w:t>Aquellos elementos tangibles y consumibles, adquiridos y utilizados únicamente para la prestación del servicio o la realización de la actividad económica que es fuente principal de su ingreso, y no con otros fines personales, comerciales o de otra índole</w:t>
      </w:r>
      <w:r w:rsidRPr="0018374C">
        <w:rPr>
          <w:rFonts w:eastAsia="Times New Roman"/>
          <w:b/>
          <w:szCs w:val="24"/>
          <w:lang w:eastAsia="es-CO"/>
        </w:rPr>
        <w:t>, y para cuya utilización, manipulación o aplicación se requiere un específico conocimiento técnico o tecnológico.</w:t>
      </w:r>
    </w:p>
    <w:p w:rsidR="0031749C" w:rsidRPr="0018374C" w:rsidRDefault="0031749C" w:rsidP="0031749C">
      <w:pPr>
        <w:adjustRightInd w:val="0"/>
        <w:spacing w:line="240" w:lineRule="auto"/>
        <w:rPr>
          <w:rFonts w:eastAsia="Times New Roman"/>
          <w:b/>
          <w:szCs w:val="24"/>
          <w:lang w:eastAsia="es-CO"/>
        </w:rPr>
      </w:pPr>
      <w:r w:rsidRPr="0018374C">
        <w:rPr>
          <w:rFonts w:eastAsia="Times New Roman"/>
          <w:b/>
          <w:szCs w:val="24"/>
          <w:lang w:eastAsia="es-CO"/>
        </w:rPr>
        <w:t> </w:t>
      </w:r>
    </w:p>
    <w:p w:rsidR="0031749C" w:rsidRPr="0018374C" w:rsidRDefault="0031749C" w:rsidP="0031749C">
      <w:pPr>
        <w:adjustRightInd w:val="0"/>
        <w:spacing w:line="240" w:lineRule="auto"/>
        <w:rPr>
          <w:rFonts w:eastAsia="Times New Roman"/>
          <w:b/>
          <w:szCs w:val="24"/>
          <w:lang w:eastAsia="es-CO"/>
        </w:rPr>
      </w:pPr>
      <w:r w:rsidRPr="002A6144">
        <w:rPr>
          <w:rFonts w:eastAsia="Times New Roman"/>
          <w:b/>
          <w:bCs/>
          <w:szCs w:val="24"/>
          <w:lang w:eastAsia="es-CO"/>
        </w:rPr>
        <w:t xml:space="preserve">Maquinaria o equipo especializado: </w:t>
      </w:r>
      <w:r w:rsidRPr="002A6144">
        <w:rPr>
          <w:rFonts w:eastAsia="Times New Roman"/>
          <w:szCs w:val="24"/>
          <w:lang w:eastAsia="es-CO"/>
        </w:rPr>
        <w:t xml:space="preserve">El conjunto de instrumentos, aparatos o dispositivos tangibles, adquiridos y utilizados únicamente para el desempeño del servicio o la realización de la actividad económica que es fuente principal de su ingreso, y no con otros fines personales, comerciales o de otra índole, </w:t>
      </w:r>
      <w:r w:rsidRPr="0018374C">
        <w:rPr>
          <w:rFonts w:eastAsia="Times New Roman"/>
          <w:b/>
          <w:szCs w:val="24"/>
          <w:lang w:eastAsia="es-CO"/>
        </w:rPr>
        <w:t>y para cuya utilización, manipulación o aplicación se requiere un específico conocimiento técnico o tecnológico.</w:t>
      </w:r>
    </w:p>
    <w:p w:rsidR="0031749C" w:rsidRPr="0018374C" w:rsidRDefault="0031749C" w:rsidP="0031749C">
      <w:pPr>
        <w:adjustRightInd w:val="0"/>
        <w:spacing w:line="240" w:lineRule="auto"/>
        <w:rPr>
          <w:rFonts w:eastAsia="Times New Roman"/>
          <w:b/>
          <w:szCs w:val="24"/>
          <w:lang w:eastAsia="es-CO"/>
        </w:rPr>
      </w:pPr>
      <w:r w:rsidRPr="0018374C">
        <w:rPr>
          <w:rFonts w:eastAsia="Times New Roman"/>
          <w:b/>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bCs/>
          <w:szCs w:val="24"/>
          <w:lang w:eastAsia="es-CO"/>
        </w:rPr>
        <w:t>Cuenta y riesgo propio: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1. Una persona natural presta servicios personales por cuenta y riesgo propio si cumple la totalidad de las siguientes condiciones: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a) Asume las pérdidas monetarias que resulten de la prestación del servicio;</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b) Asume la responsabilidad ante terceros por errores o fallas en la prestación del servicio;</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c) Sus ingresos por concepto de esos servicios provienen de más de un contratante o pagador, cuyos contratos deben ser simultáneos al menos durante un mes del período gravable,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d) Incurre en costos y gastos fijos y necesarios para la prestación de tales servicios, no relacionados directamente con algún contrato específico, que representan al menos el veinticinco por ciento (25%) del total de los ingresos por servicios percibidos por la persona en el respectivo año gravable.</w:t>
      </w:r>
    </w:p>
    <w:p w:rsidR="001C1E19"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2. Una persona natural realiza actividades económicas por cuenta y riesgo propio, distintas a la prestación de servicios personales, si cumple la totalidad de las siguientes condiciones: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a) Asume las pérdidas monetarias que resulten de la realización de la actividad;</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b) Asume la responsabilidad ante terceros por errores o fallas en la realización de la actividad,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c) Sus ingresos por concepto de esos servicios provienen de más de un contratante o pagador, cuyos contratos deben ser simultáneos al menos durante un mes del período gravable.</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Artículo 2°.</w:t>
      </w:r>
      <w:r w:rsidRPr="002A6144">
        <w:rPr>
          <w:rFonts w:eastAsia="Times New Roman"/>
          <w:szCs w:val="24"/>
          <w:lang w:eastAsia="es-CO"/>
        </w:rPr>
        <w:t xml:space="preserve"> </w:t>
      </w:r>
      <w:r w:rsidRPr="002A6144">
        <w:rPr>
          <w:rFonts w:eastAsia="Times New Roman"/>
          <w:i/>
          <w:iCs/>
          <w:szCs w:val="24"/>
          <w:lang w:eastAsia="es-CO"/>
        </w:rPr>
        <w:t>Empleado</w:t>
      </w:r>
      <w:r w:rsidRPr="002A6144">
        <w:rPr>
          <w:rFonts w:eastAsia="Times New Roman"/>
          <w:szCs w:val="24"/>
          <w:lang w:eastAsia="es-CO"/>
        </w:rPr>
        <w:t>. Una persona natural residente en el país se considera empleado para efectos tributarios si en el respectivo año gravable cumple con uno de los tres conjuntos de condiciones siguientes: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1. Conjunto 1:</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Sus ingresos brutos provienen, en una proporción igual o superior a un ochenta por ciento (80%), de una vinculación laboral o legal y reglamentaria, independientemente de su denominación.</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2. Conjunto 2:</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a) Sus ingresos brutos provienen, en una proporción igual o superior a un ochenta por ciento (80%), de la prestación de servicios de manera personal o de la realización de una actividad económica, mediante una vinculación de cualquier naturaleza, independientemente de su denominación,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b) No presta el respectivo servicio, o no realiza la actividad económica, por su cuenta y riesgo, de conformidad con lo previsto en el artículo anterior.</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3. Conjunto 3:</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a) Sus ingresos brutos provienen, en una proporción igual o superior a un ochenta por ciento (80%), de la prestación de servicios de manera personal o de la realización de una actividad económica, mediante una vinculación de cualquier naturaleza, independientemente de su denominación,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b) Presta el respectivo servicio, o realiza la actividad económica, por su cuenta y riesgo, de conformidad con lo previsto en el artículo anterior,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c) No presta servicios técnicos que requieren de materiales o insumos especializados, o maquinaria o equipo especializado,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d) El desarrollo de ninguna de las actividades señaladas en el </w:t>
      </w:r>
      <w:hyperlink r:id="rId21" w:tooltip="Estatuto Tributario CETA" w:history="1">
        <w:r w:rsidRPr="002A6144">
          <w:rPr>
            <w:rFonts w:eastAsia="Times New Roman"/>
            <w:szCs w:val="24"/>
            <w:lang w:eastAsia="es-CO"/>
          </w:rPr>
          <w:t>artículo 340</w:t>
        </w:r>
      </w:hyperlink>
      <w:r w:rsidRPr="002A6144">
        <w:rPr>
          <w:rFonts w:eastAsia="Times New Roman"/>
          <w:szCs w:val="24"/>
          <w:lang w:eastAsia="es-CO"/>
        </w:rPr>
        <w:t xml:space="preserve"> del Estatuto Tributario le genera más del veinte por ciento (20%) de sus ingresos brutos, y</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e) No deriva más del veinte por ciento (20%) de sus ingresos del expendio, compraventa o distribución de bienes y mercancías, al por mayor o al por menor; ni de la producción, extracción, fabricación, confección, preparación, transformación, manufactura y ensamblaje de cualquier clase de materiales o bienes.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Parágrafo 1</w:t>
      </w:r>
      <w:r w:rsidRPr="002A6144">
        <w:rPr>
          <w:rFonts w:eastAsia="Times New Roman"/>
          <w:b/>
          <w:bCs/>
          <w:i/>
          <w:iCs/>
          <w:szCs w:val="24"/>
          <w:lang w:eastAsia="es-CO"/>
        </w:rPr>
        <w:t>°</w:t>
      </w:r>
      <w:r w:rsidRPr="002A6144">
        <w:rPr>
          <w:rFonts w:eastAsia="Times New Roman"/>
          <w:b/>
          <w:szCs w:val="24"/>
          <w:lang w:eastAsia="es-CO"/>
        </w:rPr>
        <w:t xml:space="preserve">. </w:t>
      </w:r>
      <w:r w:rsidRPr="002A6144">
        <w:rPr>
          <w:rFonts w:eastAsia="Times New Roman"/>
          <w:szCs w:val="24"/>
          <w:lang w:eastAsia="es-CO"/>
        </w:rPr>
        <w:t>Para establecer el monto del ochenta por ciento (80%) a que se refieren los numerales precedentes, deben computarse y sumarse tanto los ingresos provenientes de la relación laboral o legal y reglamentaria, los ingresos provenientes del ejercicio de profesiones liberales como también los provenientes de la prestación de servicios técnicos, en el evento en que se perciban por un mismo contribuyente.</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Parágrafo 2°.</w:t>
      </w:r>
      <w:r w:rsidRPr="002A6144">
        <w:rPr>
          <w:rFonts w:eastAsia="Times New Roman"/>
          <w:szCs w:val="24"/>
          <w:lang w:eastAsia="es-CO"/>
        </w:rPr>
        <w:t xml:space="preserve"> Para efectos de lo dispuesto en el </w:t>
      </w:r>
      <w:hyperlink r:id="rId22" w:tooltip="Estatuto Tributario CETA" w:history="1">
        <w:r w:rsidRPr="002A6144">
          <w:rPr>
            <w:rFonts w:eastAsia="Times New Roman"/>
            <w:szCs w:val="24"/>
            <w:lang w:eastAsia="es-CO"/>
          </w:rPr>
          <w:t>artículo 329</w:t>
        </w:r>
      </w:hyperlink>
      <w:r w:rsidRPr="002A6144">
        <w:rPr>
          <w:rFonts w:eastAsia="Times New Roman"/>
          <w:szCs w:val="24"/>
          <w:lang w:eastAsia="es-CO"/>
        </w:rPr>
        <w:t xml:space="preserve"> del Estatuto Tributario se tendrán en cuenta la totalidad de los ingresos que reciba la persona natural residente en el país, directa o indirectamente, con ocasión de la relación contractual, laboral, legal o reglamentaria, independientemente de la denominación o fuente que se le atribuya a dichos pagos.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b/>
          <w:szCs w:val="24"/>
          <w:lang w:eastAsia="es-CO"/>
        </w:rPr>
      </w:pPr>
      <w:r w:rsidRPr="002A6144">
        <w:rPr>
          <w:rFonts w:eastAsia="Times New Roman"/>
          <w:b/>
          <w:szCs w:val="24"/>
          <w:lang w:eastAsia="es-CO"/>
        </w:rPr>
        <w:t>Artículo 3°.</w:t>
      </w:r>
      <w:r w:rsidRPr="002A6144">
        <w:rPr>
          <w:rFonts w:eastAsia="Times New Roman"/>
          <w:szCs w:val="24"/>
          <w:lang w:eastAsia="es-CO"/>
        </w:rPr>
        <w:t xml:space="preserve"> </w:t>
      </w:r>
      <w:r w:rsidRPr="002A6144">
        <w:rPr>
          <w:rFonts w:eastAsia="Times New Roman"/>
          <w:i/>
          <w:iCs/>
          <w:szCs w:val="24"/>
          <w:lang w:eastAsia="es-CO"/>
        </w:rPr>
        <w:t xml:space="preserve">Trabajador por cuenta propia. </w:t>
      </w:r>
      <w:r w:rsidRPr="002A6144">
        <w:rPr>
          <w:rFonts w:eastAsia="Times New Roman"/>
          <w:szCs w:val="24"/>
          <w:lang w:eastAsia="es-CO"/>
        </w:rPr>
        <w:t xml:space="preserve">Para los efectos del cálculo del Impuesto Mínimo Alternativo Simplificado (IMAS), de conformidad con lo establecido en los artículos 336 a 341 del Estatuto Tributario, una persona natural residente en el país se clasifica como trabajador por cuenta propia si en el respectivo año gravable </w:t>
      </w:r>
      <w:r w:rsidRPr="002A6144">
        <w:rPr>
          <w:rFonts w:eastAsia="Times New Roman"/>
          <w:b/>
          <w:szCs w:val="24"/>
          <w:lang w:eastAsia="es-CO"/>
        </w:rPr>
        <w:t>cumple la totalidad de las siguientes condiciones: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1. Sus ingresos provienen, en una proporción igual o superior a un ochenta por ciento (80%), de la realización de solo una de las actividades económicas señaladas en el </w:t>
      </w:r>
      <w:hyperlink r:id="rId23" w:tooltip="Estatuto Tributario CETA" w:history="1">
        <w:r w:rsidRPr="002A6144">
          <w:rPr>
            <w:rFonts w:eastAsia="Times New Roman"/>
            <w:szCs w:val="24"/>
            <w:lang w:eastAsia="es-CO"/>
          </w:rPr>
          <w:t>artículo 340</w:t>
        </w:r>
      </w:hyperlink>
      <w:r w:rsidRPr="002A6144">
        <w:rPr>
          <w:rFonts w:eastAsia="Times New Roman"/>
          <w:szCs w:val="24"/>
          <w:lang w:eastAsia="es-CO"/>
        </w:rPr>
        <w:t xml:space="preserve"> del Estatuto Tributario.</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2. Presta el servicio por su cuenta y riesgo.</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3. Su Renta Gravable Alternativa (RGA) es inferior a veintisiete mil (27.000) UVT.</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b/>
          <w:szCs w:val="24"/>
          <w:lang w:eastAsia="es-CO"/>
        </w:rPr>
      </w:pPr>
      <w:r w:rsidRPr="002A6144">
        <w:rPr>
          <w:rFonts w:eastAsia="Times New Roman"/>
          <w:b/>
          <w:szCs w:val="24"/>
          <w:lang w:eastAsia="es-CO"/>
        </w:rPr>
        <w:t>4. El patrimonio líquido declarado en el período gravable anterior es inferior a doce mil (12.000) UVT.</w:t>
      </w:r>
    </w:p>
    <w:p w:rsidR="0031749C" w:rsidRPr="002A6144" w:rsidRDefault="0031749C" w:rsidP="0031749C">
      <w:pPr>
        <w:adjustRightInd w:val="0"/>
        <w:spacing w:line="240" w:lineRule="auto"/>
        <w:rPr>
          <w:rFonts w:eastAsia="Times New Roman"/>
          <w:b/>
          <w:szCs w:val="24"/>
          <w:lang w:eastAsia="es-CO"/>
        </w:rPr>
      </w:pPr>
      <w:r w:rsidRPr="002A6144">
        <w:rPr>
          <w:rFonts w:eastAsia="Times New Roman"/>
          <w:b/>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Parágrafo.</w:t>
      </w:r>
      <w:r w:rsidRPr="002A6144">
        <w:rPr>
          <w:rFonts w:eastAsia="Times New Roman"/>
          <w:szCs w:val="24"/>
          <w:lang w:eastAsia="es-CO"/>
        </w:rPr>
        <w:t xml:space="preserve"> Para efectos de establecer si una persona natural residente en el país clasifica en la categoría tributaria de trabajador por cuenta propia, las actividades económicas a que se refiere el </w:t>
      </w:r>
      <w:hyperlink r:id="rId24" w:tooltip="Estatuto Tributario CETA" w:history="1">
        <w:r w:rsidRPr="002A6144">
          <w:rPr>
            <w:rFonts w:eastAsia="Times New Roman"/>
            <w:szCs w:val="24"/>
            <w:lang w:eastAsia="es-CO"/>
          </w:rPr>
          <w:t>artículo 340</w:t>
        </w:r>
      </w:hyperlink>
      <w:r w:rsidRPr="002A6144">
        <w:rPr>
          <w:rFonts w:eastAsia="Times New Roman"/>
          <w:szCs w:val="24"/>
          <w:lang w:eastAsia="es-CO"/>
        </w:rPr>
        <w:t xml:space="preserve"> del Estatuto Tributario se homologarán, a los códigos que correspondan a la misma actividad en la Resolución número 000139 de 2012 o las que la adicionen, sustituyan o modifiquen.</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67105F" w:rsidRDefault="0031749C" w:rsidP="0031749C">
      <w:pPr>
        <w:adjustRightInd w:val="0"/>
        <w:spacing w:line="240" w:lineRule="auto"/>
        <w:rPr>
          <w:rFonts w:eastAsia="Times New Roman"/>
          <w:b/>
          <w:szCs w:val="24"/>
          <w:u w:val="single"/>
          <w:lang w:eastAsia="es-CO"/>
        </w:rPr>
      </w:pPr>
      <w:r w:rsidRPr="002A6144">
        <w:rPr>
          <w:rFonts w:eastAsia="Times New Roman"/>
          <w:b/>
          <w:szCs w:val="24"/>
          <w:lang w:eastAsia="es-CO"/>
        </w:rPr>
        <w:t>Artículo 4°.</w:t>
      </w:r>
      <w:r w:rsidRPr="002A6144">
        <w:rPr>
          <w:rFonts w:eastAsia="Times New Roman"/>
          <w:szCs w:val="24"/>
          <w:lang w:eastAsia="es-CO"/>
        </w:rPr>
        <w:t xml:space="preserve"> </w:t>
      </w:r>
      <w:r w:rsidRPr="0067105F">
        <w:rPr>
          <w:rFonts w:eastAsia="Times New Roman"/>
          <w:b/>
          <w:i/>
          <w:iCs/>
          <w:szCs w:val="24"/>
          <w:lang w:eastAsia="es-CO"/>
        </w:rPr>
        <w:t xml:space="preserve">Ingresos a considerar para la clasificación. </w:t>
      </w:r>
      <w:r w:rsidRPr="0067105F">
        <w:rPr>
          <w:rFonts w:eastAsia="Times New Roman"/>
          <w:b/>
          <w:szCs w:val="24"/>
          <w:lang w:eastAsia="es-CO"/>
        </w:rPr>
        <w:t xml:space="preserve">Para efectos de calcular los límites porcentuales establecidos en el </w:t>
      </w:r>
      <w:hyperlink r:id="rId25" w:tooltip="Estatuto Tributario CETA" w:history="1">
        <w:r w:rsidRPr="0067105F">
          <w:rPr>
            <w:rFonts w:eastAsia="Times New Roman"/>
            <w:b/>
            <w:szCs w:val="24"/>
            <w:lang w:eastAsia="es-CO"/>
          </w:rPr>
          <w:t>artículo 329</w:t>
        </w:r>
      </w:hyperlink>
      <w:r w:rsidRPr="0067105F">
        <w:rPr>
          <w:rFonts w:eastAsia="Times New Roman"/>
          <w:b/>
          <w:szCs w:val="24"/>
          <w:lang w:eastAsia="es-CO"/>
        </w:rPr>
        <w:t xml:space="preserve"> del Estatuto Tributario y efectuar la clasificación en las categorías de contribuyentes a las que se refiere el presente decreto, no se tendrán en cuenta las rentas sometidas al régimen del impuesto complementario de ganancias ocasionales, </w:t>
      </w:r>
      <w:r w:rsidRPr="0067105F">
        <w:rPr>
          <w:rFonts w:eastAsia="Times New Roman"/>
          <w:b/>
          <w:szCs w:val="24"/>
          <w:u w:val="single"/>
          <w:lang w:eastAsia="es-CO"/>
        </w:rPr>
        <w:t>ni las provenientes de enajenación de activos fijos poseídos por menos de dos (2) años.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597954">
        <w:rPr>
          <w:rFonts w:eastAsia="Times New Roman"/>
          <w:szCs w:val="24"/>
          <w:highlight w:val="green"/>
          <w:lang w:eastAsia="es-CO"/>
        </w:rPr>
        <w:t xml:space="preserve">Tampoco se tendrán en cuenta para establecer los límites de dichos montos los retiros parciales o totales de los aportes voluntarios a Fondos de Pensiones y de ahorros en las cuentas para el fomento de la construcción “AFC”, siempre y cuando correspondan a ingresos que se hayan percibido y destinado en un período o períodos fiscales distintos al </w:t>
      </w:r>
      <w:bookmarkStart w:id="0" w:name="_GoBack"/>
      <w:bookmarkEnd w:id="0"/>
      <w:r w:rsidRPr="00597954">
        <w:rPr>
          <w:rFonts w:eastAsia="Times New Roman"/>
          <w:szCs w:val="24"/>
          <w:highlight w:val="green"/>
          <w:lang w:eastAsia="es-CO"/>
        </w:rPr>
        <w:t>período fiscal en el cual se efectúa el retiro del Fondo o cuenta, según corresponda.</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Parágrafo 1°.</w:t>
      </w:r>
      <w:r w:rsidRPr="002A6144">
        <w:rPr>
          <w:rFonts w:eastAsia="Times New Roman"/>
          <w:szCs w:val="24"/>
          <w:lang w:eastAsia="es-CO"/>
        </w:rPr>
        <w:t xml:space="preserve"> De conformidad con lo previsto en el </w:t>
      </w:r>
      <w:hyperlink r:id="rId26" w:tooltip="Estatuto Tributario CETA" w:history="1">
        <w:r w:rsidRPr="002A6144">
          <w:rPr>
            <w:rFonts w:eastAsia="Times New Roman"/>
            <w:szCs w:val="24"/>
            <w:lang w:eastAsia="es-CO"/>
          </w:rPr>
          <w:t>artículo 329</w:t>
        </w:r>
      </w:hyperlink>
      <w:r w:rsidRPr="002A6144">
        <w:rPr>
          <w:rFonts w:eastAsia="Times New Roman"/>
          <w:szCs w:val="24"/>
          <w:lang w:eastAsia="es-CO"/>
        </w:rPr>
        <w:t xml:space="preserve"> del Estatuto Tributario, los ingresos provenientes de pensiones de jubilación, invalidez, vejez, de sobrevivientes y sobre riesgos laborales, no se incluyen en la determinación de la renta gravable alternativa </w:t>
      </w:r>
      <w:r w:rsidRPr="002A6144">
        <w:rPr>
          <w:rFonts w:eastAsia="Times New Roman"/>
          <w:szCs w:val="24"/>
          <w:lang w:eastAsia="es-CO"/>
        </w:rPr>
        <w:lastRenderedPageBreak/>
        <w:t>del IMAN y el IMAS, y se tendrán en cuenta, únicamente, para efectos de calcular los límites porcentuales establecidos en dicho artículo.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Parágrafo 2°.</w:t>
      </w:r>
      <w:r w:rsidRPr="002A6144">
        <w:rPr>
          <w:rFonts w:eastAsia="Times New Roman"/>
          <w:szCs w:val="24"/>
          <w:lang w:eastAsia="es-CO"/>
        </w:rPr>
        <w:t xml:space="preserve"> A los ingresos de que trata el parágrafo anterior, provenientes de pensiones de jubilación, invalidez, vejez, de sobrevivientes y sobre riesgos laborales, seguirán sujetas al régimen ordinario de determinación del impuesto sobre la renta y complementarios, previsto en el numeral 5 del </w:t>
      </w:r>
      <w:hyperlink r:id="rId27" w:tooltip="Estatuto Tributario CETA" w:history="1">
        <w:r w:rsidRPr="002A6144">
          <w:rPr>
            <w:rFonts w:eastAsia="Times New Roman"/>
            <w:szCs w:val="24"/>
            <w:lang w:eastAsia="es-CO"/>
          </w:rPr>
          <w:t>artículo 206</w:t>
        </w:r>
      </w:hyperlink>
      <w:r w:rsidRPr="002A6144">
        <w:rPr>
          <w:rFonts w:eastAsia="Times New Roman"/>
          <w:szCs w:val="24"/>
          <w:lang w:eastAsia="es-CO"/>
        </w:rPr>
        <w:t xml:space="preserve"> del Estatuto Tributario.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Artículo 5°.</w:t>
      </w:r>
      <w:r w:rsidRPr="002A6144">
        <w:rPr>
          <w:rFonts w:eastAsia="Times New Roman"/>
          <w:szCs w:val="24"/>
          <w:lang w:eastAsia="es-CO"/>
        </w:rPr>
        <w:t xml:space="preserve"> </w:t>
      </w:r>
      <w:r w:rsidRPr="002A6144">
        <w:rPr>
          <w:rFonts w:eastAsia="Times New Roman"/>
          <w:i/>
          <w:iCs/>
          <w:szCs w:val="24"/>
          <w:lang w:eastAsia="es-CO"/>
        </w:rPr>
        <w:t xml:space="preserve">Otros contribuyentes sometidos al sistema ordinario de determinación del impuesto. </w:t>
      </w:r>
      <w:r w:rsidRPr="002A6144">
        <w:rPr>
          <w:rFonts w:eastAsia="Times New Roman"/>
          <w:szCs w:val="24"/>
          <w:lang w:eastAsia="es-CO"/>
        </w:rPr>
        <w:t>Los siguientes contribuyentes se regirán únicamente por el sistema ordinario de determinación del impuesto sobre la renta, establecido en el Título I del Libro I del Estatuto Tributario: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1. Las personas naturales que en su condición de notarios presten el servicio público de notariado. Para efectos de control, estos contribuyentes deben llevar en su contabilidad cuentas separadas de los ingresos provenientes de la prestación de servicios notariales y de los ingresos de orígenes distintos.</w:t>
      </w:r>
    </w:p>
    <w:p w:rsidR="00210B6A" w:rsidRPr="002A6144" w:rsidRDefault="00210B6A" w:rsidP="0031749C">
      <w:pPr>
        <w:adjustRightInd w:val="0"/>
        <w:spacing w:line="240" w:lineRule="auto"/>
        <w:rPr>
          <w:rFonts w:eastAsia="Times New Roman"/>
          <w:szCs w:val="24"/>
          <w:lang w:eastAsia="es-CO"/>
        </w:rPr>
      </w:pPr>
    </w:p>
    <w:p w:rsidR="0031749C" w:rsidRPr="0067105F" w:rsidRDefault="0031749C" w:rsidP="0031749C">
      <w:pPr>
        <w:adjustRightInd w:val="0"/>
        <w:spacing w:line="240" w:lineRule="auto"/>
        <w:rPr>
          <w:rFonts w:eastAsia="Times New Roman"/>
          <w:b/>
          <w:szCs w:val="24"/>
          <w:u w:val="single"/>
          <w:lang w:eastAsia="es-CO"/>
        </w:rPr>
      </w:pPr>
      <w:r w:rsidRPr="0067105F">
        <w:rPr>
          <w:rFonts w:eastAsia="Times New Roman"/>
          <w:b/>
          <w:szCs w:val="24"/>
          <w:lang w:eastAsia="es-CO"/>
        </w:rPr>
        <w:t xml:space="preserve">2. Las personas naturales nacionales o extranjeras residentes en el país cuyos ingresos correspondan </w:t>
      </w:r>
      <w:r w:rsidRPr="0067105F">
        <w:rPr>
          <w:rFonts w:eastAsia="Times New Roman"/>
          <w:b/>
          <w:szCs w:val="24"/>
          <w:u w:val="single"/>
          <w:lang w:eastAsia="es-CO"/>
        </w:rPr>
        <w:t>únicamente a pensiones de jubilación, invalidez, vejez, sobrevivientes y riesgos laborales.</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xml:space="preserve">3. Los servidores públicos diplomáticos, consulares y administrativos del Ministerio de Relaciones Exteriores, conforme con lo establecido en el </w:t>
      </w:r>
      <w:hyperlink r:id="rId28" w:tooltip="Estatuto Tributario CETA" w:history="1">
        <w:r w:rsidRPr="002A6144">
          <w:rPr>
            <w:rFonts w:eastAsia="Times New Roman"/>
            <w:szCs w:val="24"/>
            <w:lang w:eastAsia="es-CO"/>
          </w:rPr>
          <w:t>artículo 206-1</w:t>
        </w:r>
      </w:hyperlink>
      <w:r w:rsidRPr="002A6144">
        <w:rPr>
          <w:rFonts w:eastAsia="Times New Roman"/>
          <w:szCs w:val="24"/>
          <w:lang w:eastAsia="es-CO"/>
        </w:rPr>
        <w:t xml:space="preserve"> del Estatuto Tributario.</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4. Las sucesiones ilíquidas de causantes nacionales o extranjeros que al momento de su muerte eran residentes en el país, los bienes destinados a fines especiales en virtud de donaciones o asignaciones modales excepto cuando los donatarios o asignatarios los usufructúen personalmente.</w:t>
      </w:r>
    </w:p>
    <w:p w:rsidR="00210B6A" w:rsidRPr="002A6144" w:rsidRDefault="00210B6A" w:rsidP="0031749C">
      <w:pPr>
        <w:adjustRightInd w:val="0"/>
        <w:spacing w:line="240" w:lineRule="auto"/>
        <w:rPr>
          <w:rFonts w:eastAsia="Times New Roman"/>
          <w:szCs w:val="24"/>
          <w:lang w:eastAsia="es-CO"/>
        </w:rPr>
      </w:pP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5. Las demás personas naturales nacionales o extranjeras residentes en el país, que no clasifiquen dentro de las categorías de empleado o trabajador por cuenta propia según la clasificación establecida en el presente decreto.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Artículo 6°.</w:t>
      </w:r>
      <w:r w:rsidRPr="002A6144">
        <w:rPr>
          <w:rFonts w:eastAsia="Times New Roman"/>
          <w:szCs w:val="24"/>
          <w:lang w:eastAsia="es-CO"/>
        </w:rPr>
        <w:t xml:space="preserve"> </w:t>
      </w:r>
      <w:proofErr w:type="spellStart"/>
      <w:r w:rsidRPr="002A6144">
        <w:rPr>
          <w:rFonts w:eastAsia="Times New Roman"/>
          <w:szCs w:val="24"/>
          <w:lang w:eastAsia="es-CO"/>
        </w:rPr>
        <w:t>Adiciónase</w:t>
      </w:r>
      <w:proofErr w:type="spellEnd"/>
      <w:r w:rsidRPr="002A6144">
        <w:rPr>
          <w:rFonts w:eastAsia="Times New Roman"/>
          <w:szCs w:val="24"/>
          <w:lang w:eastAsia="es-CO"/>
        </w:rPr>
        <w:t xml:space="preserve"> el artículo 1° del Decreto Reglamentario número 1070 de 2013, con los siguientes numerales:</w:t>
      </w:r>
    </w:p>
    <w:p w:rsidR="0031749C" w:rsidRPr="002A6144" w:rsidRDefault="0031749C" w:rsidP="0031749C">
      <w:pPr>
        <w:adjustRightInd w:val="0"/>
        <w:spacing w:line="240" w:lineRule="auto"/>
        <w:ind w:left="284"/>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ind w:left="284"/>
        <w:rPr>
          <w:rFonts w:eastAsia="Times New Roman"/>
          <w:szCs w:val="24"/>
          <w:lang w:eastAsia="es-CO"/>
        </w:rPr>
      </w:pPr>
      <w:r w:rsidRPr="002A6144">
        <w:rPr>
          <w:rFonts w:eastAsia="Times New Roman"/>
          <w:szCs w:val="24"/>
          <w:lang w:eastAsia="es-CO"/>
        </w:rPr>
        <w:t xml:space="preserve">“5. Que en el año gravable inmediatamente anterior no desarrolló una de las actividades señaladas en el </w:t>
      </w:r>
      <w:hyperlink r:id="rId29" w:tooltip="Estatuto Tributario CETA" w:history="1">
        <w:r w:rsidRPr="002A6144">
          <w:rPr>
            <w:rFonts w:eastAsia="Times New Roman"/>
            <w:szCs w:val="24"/>
            <w:lang w:eastAsia="es-CO"/>
          </w:rPr>
          <w:t>artículo 340</w:t>
        </w:r>
      </w:hyperlink>
      <w:r w:rsidRPr="002A6144">
        <w:rPr>
          <w:rFonts w:eastAsia="Times New Roman"/>
          <w:szCs w:val="24"/>
          <w:lang w:eastAsia="es-CO"/>
        </w:rPr>
        <w:t xml:space="preserve"> del Estatuto Tributario o que si la desarrolló no le generó más del veinte por ciento (20%) de sus ingresos brutos.</w:t>
      </w:r>
    </w:p>
    <w:p w:rsidR="0031749C" w:rsidRPr="002A6144" w:rsidRDefault="0031749C" w:rsidP="0031749C">
      <w:pPr>
        <w:adjustRightInd w:val="0"/>
        <w:spacing w:line="240" w:lineRule="auto"/>
        <w:ind w:left="284"/>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ind w:left="284"/>
        <w:rPr>
          <w:rFonts w:eastAsia="Times New Roman"/>
          <w:szCs w:val="24"/>
          <w:lang w:eastAsia="es-CO"/>
        </w:rPr>
      </w:pPr>
      <w:r w:rsidRPr="002A6144">
        <w:rPr>
          <w:rFonts w:eastAsia="Times New Roman"/>
          <w:szCs w:val="24"/>
          <w:lang w:eastAsia="es-CO"/>
        </w:rPr>
        <w:t>6. Que durante el año gravable inmediatamente anterior no prestó servicios técnicos que requirieran de materiales o insumos especializados, o maquinaria o equipo especializado, cuyo costo represente más del veinticinco por ciento (25%) del total de los ingresos percibidos por concepto de tales servicios técnicos”.</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 xml:space="preserve">Artículo 7°. </w:t>
      </w:r>
      <w:r w:rsidRPr="002A6144">
        <w:rPr>
          <w:rFonts w:eastAsia="Times New Roman"/>
          <w:i/>
          <w:iCs/>
          <w:szCs w:val="24"/>
          <w:lang w:eastAsia="es-CO"/>
        </w:rPr>
        <w:t xml:space="preserve">Comparación en el sistema de determinación del impuesto sobre la renta para los empleados. </w:t>
      </w:r>
      <w:r w:rsidRPr="002A6144">
        <w:rPr>
          <w:rFonts w:eastAsia="Times New Roman"/>
          <w:szCs w:val="24"/>
          <w:lang w:eastAsia="es-CO"/>
        </w:rPr>
        <w:t xml:space="preserve">Para efectos de determinar el Impuesto sobre la Renta de las personas naturales residentes en el país clasificadas en la categoría tributaria de empleados, se comparará el monto de impuesto calculado por el sistema ordinario contemplado en el Título I del Libro I del Estatuto Tributario, con el monto del Impuesto Mínimo Alternativo Nacional (IMAN) a que se refiere el Título V del Libro I del mismo Estatuto. Cuando el monto calculado mediante el sistema ordinario resulte igual o superior al cálculo del IMAN, el Impuesto sobre la Renta del período será el determinado por el sistema ordinario. Cuando el monto de impuesto calculado mediante el sistema ordinario resulte </w:t>
      </w:r>
      <w:r w:rsidRPr="002A6144">
        <w:rPr>
          <w:rFonts w:eastAsia="Times New Roman"/>
          <w:szCs w:val="24"/>
          <w:lang w:eastAsia="es-CO"/>
        </w:rPr>
        <w:lastRenderedPageBreak/>
        <w:t>inferior al monto calculado mediante el IMAN, el Impuesto sobre la Renta del período será el correspondiente al cálculo del IMAN.</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Parágrafo 1</w:t>
      </w:r>
      <w:r w:rsidRPr="002A6144">
        <w:rPr>
          <w:rFonts w:eastAsia="Times New Roman"/>
          <w:b/>
          <w:bCs/>
          <w:szCs w:val="24"/>
          <w:lang w:eastAsia="es-CO"/>
        </w:rPr>
        <w:t xml:space="preserve">°. </w:t>
      </w:r>
      <w:r w:rsidRPr="002A6144">
        <w:rPr>
          <w:rFonts w:eastAsia="Times New Roman"/>
          <w:szCs w:val="24"/>
          <w:lang w:eastAsia="es-CO"/>
        </w:rPr>
        <w:t xml:space="preserve">Para los efectos de este artículo, el sistema ordinario de determinación del Impuesto sobre la Renta de que trata el </w:t>
      </w:r>
      <w:hyperlink r:id="rId30" w:tooltip="Estatuto Tributario CETA" w:history="1">
        <w:r w:rsidRPr="002A6144">
          <w:rPr>
            <w:rFonts w:eastAsia="Times New Roman"/>
            <w:szCs w:val="24"/>
            <w:lang w:eastAsia="es-CO"/>
          </w:rPr>
          <w:t>artículo 330</w:t>
        </w:r>
      </w:hyperlink>
      <w:r w:rsidRPr="002A6144">
        <w:rPr>
          <w:rFonts w:eastAsia="Times New Roman"/>
          <w:szCs w:val="24"/>
          <w:lang w:eastAsia="es-CO"/>
        </w:rPr>
        <w:t xml:space="preserve"> del Estatuto Tributario comprende la determinación de la renta líquida en el contexto del </w:t>
      </w:r>
      <w:hyperlink r:id="rId31" w:tooltip="Estatuto Tributario CETA" w:history="1">
        <w:r w:rsidRPr="002A6144">
          <w:rPr>
            <w:rFonts w:eastAsia="Times New Roman"/>
            <w:szCs w:val="24"/>
            <w:lang w:eastAsia="es-CO"/>
          </w:rPr>
          <w:t>artículo 26</w:t>
        </w:r>
      </w:hyperlink>
      <w:r w:rsidRPr="002A6144">
        <w:rPr>
          <w:rFonts w:eastAsia="Times New Roman"/>
          <w:szCs w:val="24"/>
          <w:lang w:eastAsia="es-CO"/>
        </w:rPr>
        <w:t xml:space="preserve"> y siguientes del Estatuto Tributario, observando lo dispuesto sobre la renta presuntiva, las rentas líquidas especiales, las rentas de trabajo, las rentas gravables especiales, así como el régimen de precios de transferencia y todo lo concerniente a la determinación del Impuesto sobre la Renta comprendido en el Título I del Libro Primero del Estatuto Tributario.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 xml:space="preserve">Parágrafo 2°. </w:t>
      </w:r>
      <w:r w:rsidRPr="002A6144">
        <w:rPr>
          <w:rFonts w:eastAsia="Times New Roman"/>
          <w:szCs w:val="24"/>
          <w:lang w:eastAsia="es-CO"/>
        </w:rPr>
        <w:t xml:space="preserve">Para efectos de la comparación de que trata el </w:t>
      </w:r>
      <w:hyperlink r:id="rId32" w:tooltip="Estatuto Tributario CETA" w:history="1">
        <w:r w:rsidRPr="002A6144">
          <w:rPr>
            <w:rFonts w:eastAsia="Times New Roman"/>
            <w:szCs w:val="24"/>
            <w:lang w:eastAsia="es-CO"/>
          </w:rPr>
          <w:t>artículo 330</w:t>
        </w:r>
      </w:hyperlink>
      <w:r w:rsidRPr="002A6144">
        <w:rPr>
          <w:rFonts w:eastAsia="Times New Roman"/>
          <w:szCs w:val="24"/>
          <w:lang w:eastAsia="es-CO"/>
        </w:rPr>
        <w:t xml:space="preserve"> del Estatuto Tributario, no se tendrá en cuenta en la determinación del impuesto sobre la renta por el sistema ordinario el impuesto complementario de ganancias ocasionales contemplado en el Título III del Libro Primero, ni la ganancia ocasional generada por los activos omitidos o los pasivos inexistentes establecida en el parágrafo transitorio del </w:t>
      </w:r>
      <w:hyperlink r:id="rId33" w:tooltip="Estatuto Tributario CETA" w:history="1">
        <w:r w:rsidRPr="002A6144">
          <w:rPr>
            <w:rFonts w:eastAsia="Times New Roman"/>
            <w:szCs w:val="24"/>
            <w:lang w:eastAsia="es-CO"/>
          </w:rPr>
          <w:t>artículo 239-1</w:t>
        </w:r>
      </w:hyperlink>
      <w:r w:rsidRPr="002A6144">
        <w:rPr>
          <w:rFonts w:eastAsia="Times New Roman"/>
          <w:szCs w:val="24"/>
          <w:lang w:eastAsia="es-CO"/>
        </w:rPr>
        <w:t xml:space="preserve"> del Estatuto Tributario.</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 xml:space="preserve">Artículo 8°. </w:t>
      </w:r>
      <w:r w:rsidRPr="002A6144">
        <w:rPr>
          <w:rFonts w:eastAsia="Times New Roman"/>
          <w:i/>
          <w:iCs/>
          <w:szCs w:val="24"/>
          <w:lang w:eastAsia="es-CO"/>
        </w:rPr>
        <w:t xml:space="preserve">Progresividad en el pago del impuesto sobre la renta y complementarios. </w:t>
      </w:r>
      <w:r w:rsidRPr="002A6144">
        <w:rPr>
          <w:rFonts w:eastAsia="Times New Roman"/>
          <w:szCs w:val="24"/>
          <w:lang w:eastAsia="es-CO"/>
        </w:rPr>
        <w:t xml:space="preserve">Las personas naturales clasificadas en la categoría tributaria de empleados, que sean beneficiarios de la progresividad en el pago del Impuesto sobre la Renta establecida en el artículo 4° de la Ley 1429 de 2010, podrán acceder a dicho beneficio en relación con el cálculo del impuesto mediante el sistema ordinario de que trata el </w:t>
      </w:r>
      <w:hyperlink r:id="rId34" w:tooltip="Estatuto Tributario CETA" w:history="1">
        <w:r w:rsidRPr="002A6144">
          <w:rPr>
            <w:rFonts w:eastAsia="Times New Roman"/>
            <w:szCs w:val="24"/>
            <w:lang w:eastAsia="es-CO"/>
          </w:rPr>
          <w:t>artículo 330</w:t>
        </w:r>
      </w:hyperlink>
      <w:r w:rsidRPr="002A6144">
        <w:rPr>
          <w:rFonts w:eastAsia="Times New Roman"/>
          <w:szCs w:val="24"/>
          <w:lang w:eastAsia="es-CO"/>
        </w:rPr>
        <w:t xml:space="preserve"> del Estatuto Tributario. Para tal efecto, el beneficio de la progresividad deberá ser aplicado sobre la tarifa marginal que corresponda al empleado en el cálculo del impuesto mediante el sistema ordinario. Una vez sea aplicada la progresividad, el monto del impuesto resultante mediante el sistema ordinario será sometido a la comparación con el monto de impuesto calculado por el Sistema del Impuesto Mínimo Alternativo Nacional (IMAN), y la cifra que resultare mayor será el impuesto correspondiente en el respectivo período gravable, según el procedimiento establecido en el artículo anterior.</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0741EE" w:rsidRDefault="0031749C" w:rsidP="0031749C">
      <w:pPr>
        <w:adjustRightInd w:val="0"/>
        <w:spacing w:line="240" w:lineRule="auto"/>
        <w:rPr>
          <w:rFonts w:eastAsia="Times New Roman"/>
          <w:szCs w:val="24"/>
          <w:highlight w:val="green"/>
          <w:lang w:eastAsia="es-CO"/>
        </w:rPr>
      </w:pPr>
      <w:r w:rsidRPr="000741EE">
        <w:rPr>
          <w:rFonts w:eastAsia="Times New Roman"/>
          <w:b/>
          <w:szCs w:val="24"/>
          <w:highlight w:val="green"/>
          <w:lang w:eastAsia="es-CO"/>
        </w:rPr>
        <w:t>Artículo 9°.</w:t>
      </w:r>
      <w:r w:rsidRPr="000741EE">
        <w:rPr>
          <w:rFonts w:eastAsia="Times New Roman"/>
          <w:szCs w:val="24"/>
          <w:highlight w:val="green"/>
          <w:lang w:eastAsia="es-CO"/>
        </w:rPr>
        <w:t xml:space="preserve"> Modifíquese el artículo 3° del Decreto número 1070 de 2013, el cual quedará así:</w:t>
      </w:r>
    </w:p>
    <w:p w:rsidR="0031749C" w:rsidRPr="000741EE" w:rsidRDefault="0031749C" w:rsidP="0031749C">
      <w:pPr>
        <w:adjustRightInd w:val="0"/>
        <w:spacing w:line="240" w:lineRule="auto"/>
        <w:ind w:left="284"/>
        <w:rPr>
          <w:rFonts w:eastAsia="Times New Roman"/>
          <w:szCs w:val="24"/>
          <w:highlight w:val="green"/>
          <w:lang w:eastAsia="es-CO"/>
        </w:rPr>
      </w:pPr>
      <w:r w:rsidRPr="000741EE">
        <w:rPr>
          <w:rFonts w:eastAsia="Times New Roman"/>
          <w:szCs w:val="24"/>
          <w:highlight w:val="green"/>
          <w:lang w:eastAsia="es-CO"/>
        </w:rPr>
        <w:t> </w:t>
      </w:r>
    </w:p>
    <w:p w:rsidR="0031749C" w:rsidRPr="000741EE" w:rsidRDefault="0031749C" w:rsidP="0031749C">
      <w:pPr>
        <w:adjustRightInd w:val="0"/>
        <w:spacing w:line="240" w:lineRule="auto"/>
        <w:ind w:left="284"/>
        <w:rPr>
          <w:rFonts w:eastAsia="Times New Roman"/>
          <w:szCs w:val="24"/>
          <w:highlight w:val="green"/>
          <w:lang w:eastAsia="es-CO"/>
        </w:rPr>
      </w:pPr>
      <w:r w:rsidRPr="000741EE">
        <w:rPr>
          <w:rFonts w:eastAsia="Times New Roman"/>
          <w:szCs w:val="24"/>
          <w:highlight w:val="green"/>
          <w:lang w:eastAsia="es-CO"/>
        </w:rPr>
        <w:t>“</w:t>
      </w:r>
      <w:r w:rsidRPr="000741EE">
        <w:rPr>
          <w:rFonts w:eastAsia="Times New Roman"/>
          <w:b/>
          <w:bCs/>
          <w:szCs w:val="24"/>
          <w:highlight w:val="green"/>
          <w:lang w:eastAsia="es-CO"/>
        </w:rPr>
        <w:t xml:space="preserve">Artículo 3°. </w:t>
      </w:r>
      <w:r w:rsidRPr="000741EE">
        <w:rPr>
          <w:rFonts w:eastAsia="Times New Roman"/>
          <w:b/>
          <w:bCs/>
          <w:i/>
          <w:iCs/>
          <w:szCs w:val="24"/>
          <w:highlight w:val="green"/>
          <w:lang w:eastAsia="es-CO"/>
        </w:rPr>
        <w:t xml:space="preserve">Contribuciones al Sistema General de Seguridad Social. </w:t>
      </w:r>
      <w:r w:rsidRPr="000741EE">
        <w:rPr>
          <w:rFonts w:eastAsia="Times New Roman"/>
          <w:szCs w:val="24"/>
          <w:highlight w:val="green"/>
          <w:lang w:eastAsia="es-CO"/>
        </w:rPr>
        <w:t xml:space="preserve">De acuerdo con lo previsto en el artículo 26 de la Ley 1393 de 2010 y el </w:t>
      </w:r>
      <w:hyperlink r:id="rId35" w:tooltip="Estatuto Tributario CETA" w:history="1">
        <w:r w:rsidRPr="000741EE">
          <w:rPr>
            <w:rFonts w:eastAsia="Times New Roman"/>
            <w:szCs w:val="24"/>
            <w:highlight w:val="green"/>
            <w:lang w:eastAsia="es-CO"/>
          </w:rPr>
          <w:t>artículo 108</w:t>
        </w:r>
      </w:hyperlink>
      <w:r w:rsidRPr="000741EE">
        <w:rPr>
          <w:rFonts w:eastAsia="Times New Roman"/>
          <w:szCs w:val="24"/>
          <w:highlight w:val="green"/>
          <w:lang w:eastAsia="es-CO"/>
        </w:rPr>
        <w:t xml:space="preserve">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liquidación y pago en lo relacionado con las sumas que son objeto del contrato, para lo cual se adjuntará a la respectiva factura o documento equivalente copia de la planilla o documento de pago.</w:t>
      </w:r>
    </w:p>
    <w:p w:rsidR="0031749C" w:rsidRPr="000741EE" w:rsidRDefault="0031749C" w:rsidP="0031749C">
      <w:pPr>
        <w:adjustRightInd w:val="0"/>
        <w:spacing w:line="240" w:lineRule="auto"/>
        <w:ind w:left="284"/>
        <w:rPr>
          <w:rFonts w:eastAsia="Times New Roman"/>
          <w:szCs w:val="24"/>
          <w:highlight w:val="green"/>
          <w:lang w:eastAsia="es-CO"/>
        </w:rPr>
      </w:pPr>
      <w:r w:rsidRPr="000741EE">
        <w:rPr>
          <w:rFonts w:eastAsia="Times New Roman"/>
          <w:szCs w:val="24"/>
          <w:highlight w:val="green"/>
          <w:lang w:eastAsia="es-CO"/>
        </w:rPr>
        <w:t> </w:t>
      </w:r>
    </w:p>
    <w:p w:rsidR="0031749C" w:rsidRPr="000741EE" w:rsidRDefault="0031749C" w:rsidP="0031749C">
      <w:pPr>
        <w:adjustRightInd w:val="0"/>
        <w:spacing w:line="240" w:lineRule="auto"/>
        <w:ind w:left="284"/>
        <w:rPr>
          <w:rFonts w:eastAsia="Times New Roman"/>
          <w:szCs w:val="24"/>
          <w:highlight w:val="green"/>
          <w:lang w:eastAsia="es-CO"/>
        </w:rPr>
      </w:pPr>
      <w:r w:rsidRPr="000741EE">
        <w:rPr>
          <w:rFonts w:eastAsia="Times New Roman"/>
          <w:szCs w:val="24"/>
          <w:highlight w:val="green"/>
          <w:lang w:eastAsia="es-CO"/>
        </w:rPr>
        <w:t>Para la procedencia de la deducción en el impuesto sobre la renta de los pagos realizados a las personas mencionadas en el inciso anterior por concepto de contratos de prestación de servicios, el contratante deberá verificar que los aportes al Sistema General de Seguridad Social estén realizados de acuerdo con los ingresos obtenidos en el contrato respectivo, en los términos del artículo 18 de la Ley 1122 de 2007, los Decretos números 1703 de 2002 y 510 de 2003, las demás normas vigentes sobre la materia, así como aquellas disposiciones que las adicionen, modifiquen o sustituyan.</w:t>
      </w:r>
    </w:p>
    <w:p w:rsidR="0031749C" w:rsidRPr="000741EE" w:rsidRDefault="0031749C" w:rsidP="0031749C">
      <w:pPr>
        <w:adjustRightInd w:val="0"/>
        <w:spacing w:line="240" w:lineRule="auto"/>
        <w:ind w:left="284"/>
        <w:rPr>
          <w:rFonts w:eastAsia="Times New Roman"/>
          <w:szCs w:val="24"/>
          <w:highlight w:val="green"/>
          <w:lang w:eastAsia="es-CO"/>
        </w:rPr>
      </w:pPr>
      <w:r w:rsidRPr="000741EE">
        <w:rPr>
          <w:rFonts w:eastAsia="Times New Roman"/>
          <w:szCs w:val="24"/>
          <w:highlight w:val="green"/>
          <w:lang w:eastAsia="es-CO"/>
        </w:rPr>
        <w:t> </w:t>
      </w:r>
    </w:p>
    <w:p w:rsidR="0031749C" w:rsidRPr="002A6144" w:rsidRDefault="0031749C" w:rsidP="0031749C">
      <w:pPr>
        <w:adjustRightInd w:val="0"/>
        <w:spacing w:line="240" w:lineRule="auto"/>
        <w:ind w:left="284"/>
        <w:rPr>
          <w:rFonts w:eastAsia="Times New Roman"/>
          <w:szCs w:val="24"/>
          <w:lang w:eastAsia="es-CO"/>
        </w:rPr>
      </w:pPr>
      <w:r w:rsidRPr="000741EE">
        <w:rPr>
          <w:rFonts w:eastAsia="Times New Roman"/>
          <w:b/>
          <w:szCs w:val="24"/>
          <w:highlight w:val="green"/>
          <w:lang w:eastAsia="es-CO"/>
        </w:rPr>
        <w:t>Parágrafo.</w:t>
      </w:r>
      <w:r w:rsidRPr="000741EE">
        <w:rPr>
          <w:rFonts w:eastAsia="Times New Roman"/>
          <w:szCs w:val="24"/>
          <w:highlight w:val="green"/>
          <w:lang w:eastAsia="es-CO"/>
        </w:rPr>
        <w:t xml:space="preserve"> Esta obligación no será aplicable cuando la totalidad de los pagos mensuales sean inferiores a un salario mínimo legal mensual vigente (1 </w:t>
      </w:r>
      <w:proofErr w:type="spellStart"/>
      <w:r w:rsidRPr="000741EE">
        <w:rPr>
          <w:rFonts w:eastAsia="Times New Roman"/>
          <w:szCs w:val="24"/>
          <w:highlight w:val="green"/>
          <w:lang w:eastAsia="es-CO"/>
        </w:rPr>
        <w:t>smlmv</w:t>
      </w:r>
      <w:proofErr w:type="spellEnd"/>
      <w:r w:rsidRPr="000741EE">
        <w:rPr>
          <w:rFonts w:eastAsia="Times New Roman"/>
          <w:szCs w:val="24"/>
          <w:highlight w:val="green"/>
          <w:lang w:eastAsia="es-CO"/>
        </w:rPr>
        <w:t>)”.</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Artículo 10.</w:t>
      </w:r>
      <w:r w:rsidRPr="002A6144">
        <w:rPr>
          <w:rFonts w:eastAsia="Times New Roman"/>
          <w:szCs w:val="24"/>
          <w:lang w:eastAsia="es-CO"/>
        </w:rPr>
        <w:t xml:space="preserve"> </w:t>
      </w:r>
      <w:r w:rsidRPr="002A6144">
        <w:rPr>
          <w:rFonts w:eastAsia="Times New Roman"/>
          <w:i/>
          <w:iCs/>
          <w:szCs w:val="24"/>
          <w:lang w:eastAsia="es-CO"/>
        </w:rPr>
        <w:t>Vigencia</w:t>
      </w:r>
      <w:r w:rsidRPr="002A6144">
        <w:rPr>
          <w:rFonts w:eastAsia="Times New Roman"/>
          <w:szCs w:val="24"/>
          <w:lang w:eastAsia="es-CO"/>
        </w:rPr>
        <w:t>. El presente decreto rige a partir de la fecha de su publicación.</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t> </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b/>
          <w:szCs w:val="24"/>
          <w:lang w:eastAsia="es-CO"/>
        </w:rPr>
        <w:t>Publíquese y cúmplase.</w:t>
      </w:r>
    </w:p>
    <w:p w:rsidR="0031749C" w:rsidRPr="002A6144" w:rsidRDefault="0031749C" w:rsidP="0031749C">
      <w:pPr>
        <w:adjustRightInd w:val="0"/>
        <w:spacing w:line="240" w:lineRule="auto"/>
        <w:rPr>
          <w:rFonts w:eastAsia="Times New Roman"/>
          <w:szCs w:val="24"/>
          <w:lang w:eastAsia="es-CO"/>
        </w:rPr>
      </w:pPr>
      <w:r w:rsidRPr="002A6144">
        <w:rPr>
          <w:rFonts w:eastAsia="Times New Roman"/>
          <w:szCs w:val="24"/>
          <w:lang w:eastAsia="es-CO"/>
        </w:rPr>
        <w:lastRenderedPageBreak/>
        <w:t>Dado en Bogotá, D. C., a 27 de diciembre de 2013.</w:t>
      </w:r>
    </w:p>
    <w:p w:rsidR="00B51D80" w:rsidRPr="002A6144" w:rsidRDefault="00B51D80">
      <w:pPr>
        <w:rPr>
          <w:szCs w:val="24"/>
        </w:rPr>
      </w:pPr>
    </w:p>
    <w:sectPr w:rsidR="00B51D80" w:rsidRPr="002A614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9C"/>
    <w:rsid w:val="000741EE"/>
    <w:rsid w:val="0018374C"/>
    <w:rsid w:val="001C1E19"/>
    <w:rsid w:val="00201BC9"/>
    <w:rsid w:val="00210B6A"/>
    <w:rsid w:val="00254AC0"/>
    <w:rsid w:val="002A6144"/>
    <w:rsid w:val="0031749C"/>
    <w:rsid w:val="004E0077"/>
    <w:rsid w:val="00597954"/>
    <w:rsid w:val="0067105F"/>
    <w:rsid w:val="006F5C6C"/>
    <w:rsid w:val="00803FE7"/>
    <w:rsid w:val="009E521C"/>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77" TargetMode="External"/><Relationship Id="rId18" Type="http://schemas.openxmlformats.org/officeDocument/2006/relationships/hyperlink" Target="http://www.ceta.org.co/html/vista_de_un_articulo.asp?Norma=418" TargetMode="External"/><Relationship Id="rId26" Type="http://schemas.openxmlformats.org/officeDocument/2006/relationships/hyperlink" Target="http://www.ceta.org.co/html/vista_de_un_articulo.asp?Norma=408" TargetMode="External"/><Relationship Id="rId21" Type="http://schemas.openxmlformats.org/officeDocument/2006/relationships/hyperlink" Target="http://www.ceta.org.co/html/vista_de_un_articulo.asp?Norma=419" TargetMode="External"/><Relationship Id="rId34" Type="http://schemas.openxmlformats.org/officeDocument/2006/relationships/hyperlink" Target="http://www.ceta.org.co/html/vista_de_un_articulo.asp?Norma=409" TargetMode="External"/><Relationship Id="rId7" Type="http://schemas.openxmlformats.org/officeDocument/2006/relationships/hyperlink" Target="http://www.ceta.org.co/html/vista_de_un_articulo.asp?Norma=410"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11" TargetMode="External"/><Relationship Id="rId25" Type="http://schemas.openxmlformats.org/officeDocument/2006/relationships/hyperlink" Target="http://www.ceta.org.co/html/vista_de_un_articulo.asp?Norma=408" TargetMode="External"/><Relationship Id="rId33" Type="http://schemas.openxmlformats.org/officeDocument/2006/relationships/hyperlink" Target="http://www.ceta.org.co/html/vista_de_un_articulo.asp?Norma=12014"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15" TargetMode="External"/><Relationship Id="rId20" Type="http://schemas.openxmlformats.org/officeDocument/2006/relationships/hyperlink" Target="http://www.ceta.org.co/html/vista_de_un_articulo.asp?Norma=477" TargetMode="External"/><Relationship Id="rId29" Type="http://schemas.openxmlformats.org/officeDocument/2006/relationships/hyperlink" Target="http://www.ceta.org.co/html/vista_de_un_articulo.asp?Norma=419" TargetMode="External"/><Relationship Id="rId1" Type="http://schemas.openxmlformats.org/officeDocument/2006/relationships/styles" Target="styles.xml"/><Relationship Id="rId6" Type="http://schemas.openxmlformats.org/officeDocument/2006/relationships/hyperlink" Target="http://www.ceta.org.co/html/vista_de_un_articulo.asp?Norma=409" TargetMode="External"/><Relationship Id="rId11" Type="http://schemas.openxmlformats.org/officeDocument/2006/relationships/hyperlink" Target="http://www.ceta.org.co/html/vista_de_un_articulo.asp?Norma=419" TargetMode="External"/><Relationship Id="rId24" Type="http://schemas.openxmlformats.org/officeDocument/2006/relationships/hyperlink" Target="http://www.ceta.org.co/html/vista_de_un_articulo.asp?Norma=419" TargetMode="External"/><Relationship Id="rId32" Type="http://schemas.openxmlformats.org/officeDocument/2006/relationships/hyperlink" Target="http://www.ceta.org.co/html/vista_de_un_articulo.asp?Norma=409" TargetMode="External"/><Relationship Id="rId37" Type="http://schemas.openxmlformats.org/officeDocument/2006/relationships/theme" Target="theme/theme1.xml"/><Relationship Id="rId5" Type="http://schemas.openxmlformats.org/officeDocument/2006/relationships/hyperlink" Target="http://www.ceta.org.co/html/vista_de_un_articulo.asp?Norma=408" TargetMode="External"/><Relationship Id="rId15" Type="http://schemas.openxmlformats.org/officeDocument/2006/relationships/hyperlink" Target="http://www.ceta.org.co/html/vista_de_un_articulo.asp?Norma=409" TargetMode="External"/><Relationship Id="rId23" Type="http://schemas.openxmlformats.org/officeDocument/2006/relationships/hyperlink" Target="http://www.ceta.org.co/html/vista_de_un_articulo.asp?Norma=419" TargetMode="External"/><Relationship Id="rId28" Type="http://schemas.openxmlformats.org/officeDocument/2006/relationships/hyperlink" Target="http://www.ceta.org.co/html/vista_de_un_articulo.asp?Norma=29941" TargetMode="External"/><Relationship Id="rId36" Type="http://schemas.openxmlformats.org/officeDocument/2006/relationships/fontTable" Target="fontTable.xml"/><Relationship Id="rId10" Type="http://schemas.openxmlformats.org/officeDocument/2006/relationships/hyperlink" Target="http://www.ceta.org.co/html/vista_de_un_articulo.asp?Norma=416" TargetMode="External"/><Relationship Id="rId19" Type="http://schemas.openxmlformats.org/officeDocument/2006/relationships/hyperlink" Target="http://www.ceta.org.co/html/vista_de_un_articulo.asp?Norma=476" TargetMode="External"/><Relationship Id="rId31" Type="http://schemas.openxmlformats.org/officeDocument/2006/relationships/hyperlink" Target="http://www.ceta.org.co/html/vista_de_un_articulo.asp?Norma=5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15" TargetMode="External"/><Relationship Id="rId14" Type="http://schemas.openxmlformats.org/officeDocument/2006/relationships/hyperlink" Target="http://www.ceta.org.co/html/vista_de_un_articulo.asp?Norma=408" TargetMode="External"/><Relationship Id="rId22" Type="http://schemas.openxmlformats.org/officeDocument/2006/relationships/hyperlink" Target="http://www.ceta.org.co/html/vista_de_un_articulo.asp?Norma=408" TargetMode="External"/><Relationship Id="rId27" Type="http://schemas.openxmlformats.org/officeDocument/2006/relationships/hyperlink" Target="http://www.ceta.org.co/html/vista_de_un_articulo.asp?Norma=272" TargetMode="External"/><Relationship Id="rId30" Type="http://schemas.openxmlformats.org/officeDocument/2006/relationships/hyperlink" Target="http://www.ceta.org.co/html/vista_de_un_articulo.asp?Norma=409" TargetMode="External"/><Relationship Id="rId35" Type="http://schemas.openxmlformats.org/officeDocument/2006/relationships/hyperlink" Target="http://www.ceta.org.co/html/vista_de_un_articulo.asp?Norma=156" TargetMode="External"/><Relationship Id="rId8" Type="http://schemas.openxmlformats.org/officeDocument/2006/relationships/hyperlink" Target="http://www.ceta.org.co/html/vista_de_un_articulo.asp?Norma=413"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3507</Words>
  <Characters>19293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12</cp:revision>
  <dcterms:created xsi:type="dcterms:W3CDTF">2014-01-04T22:01:00Z</dcterms:created>
  <dcterms:modified xsi:type="dcterms:W3CDTF">2014-09-27T03:02:00Z</dcterms:modified>
</cp:coreProperties>
</file>